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BEB5" w14:textId="0A5BBEC7" w:rsidR="00CF6DD5" w:rsidRPr="00CF6DD5" w:rsidRDefault="00CF6DD5" w:rsidP="00CF6DD5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000000"/>
          <w:sz w:val="48"/>
          <w:szCs w:val="48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48"/>
          <w:szCs w:val="48"/>
          <w:lang w:eastAsia="ru-RU"/>
        </w:rPr>
        <w:t>Балка двутавровая</w:t>
      </w:r>
      <w:r w:rsidR="00030099">
        <w:rPr>
          <w:rFonts w:ascii="Segoe UI" w:eastAsia="Times New Roman" w:hAnsi="Segoe UI" w:cs="Segoe UI"/>
          <w:color w:val="000000"/>
          <w:sz w:val="48"/>
          <w:szCs w:val="48"/>
          <w:lang w:eastAsia="ru-RU"/>
        </w:rPr>
        <w:t xml:space="preserve"> нормальная</w:t>
      </w:r>
    </w:p>
    <w:p w14:paraId="7F9220A2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Стальная двутавровая балка </w:t>
      </w:r>
      <w:r w:rsidRPr="00CF6DD5">
        <w:rPr>
          <w:rFonts w:ascii="Segoe UI" w:eastAsia="Times New Roman" w:hAnsi="Segoe UI" w:cs="Segoe UI"/>
          <w:color w:val="202122"/>
          <w:sz w:val="24"/>
          <w:szCs w:val="24"/>
          <w:lang w:eastAsia="ru-RU"/>
        </w:rPr>
        <w:t>—</w:t>
      </w: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вид фасонного проката, производимого методом горячей прокатки на комбинатах ЕВРАЗ НТМК и ЕВРАЗ ЗСМК.</w:t>
      </w:r>
    </w:p>
    <w:p w14:paraId="23FAE2DC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Двутавр благодаря хорошему сопротивлению нагрузкам, нашел широкое применение в строительстве гражданских, промышленных, инфраструктурных объектов, в мостостроении и других сферах. Двутавр применяют в конструкции колонн, балок, ферм и связей, конструкций перекрытий и покрытий.</w:t>
      </w:r>
    </w:p>
    <w:p w14:paraId="6ADDDD13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Двутавр играет важную роль при строительстве тяжело-нагруженных зданий и сооружений, например, большепролетных или высотных зданий.</w:t>
      </w:r>
    </w:p>
    <w:p w14:paraId="5C7702DC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Машиностроение является еще одним крупным потребителем двутавровой балки. Большинство вагонов в нашей стране имеют в своей конструкции мощную хребтовую балку из прокатного двутавра, которая формирует раму.</w:t>
      </w:r>
    </w:p>
    <w:p w14:paraId="14A52D5C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 каждого двутавра есть свой номер, в зависимости от этого различаются и его характеристики: высота профиля, толщина стенки, ширина полки, масса погонного метра и др., которые требуется учитывать при строительстве или проектировании.</w:t>
      </w:r>
    </w:p>
    <w:p w14:paraId="1FC9D347" w14:textId="07FE0805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Двутавры делятся на несколько видов: нормальный стандартный профиль, широкополочный и колонный, монорельсовый, бывает также профиль дополнительных серий.</w:t>
      </w:r>
    </w:p>
    <w:p w14:paraId="1CBB0EC1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Применяется следующая маркировка:</w:t>
      </w:r>
    </w:p>
    <w:p w14:paraId="4F31D249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 – Балочные нормальные двутавры, высота профиля нормального двутавра по значению больше, чем ширина полок. Изделия этого типа используются как самостоятельный несущий элемент или входят в состав крупных конструкций. Часто такие изделия используются при возведении колонн и опор.</w:t>
      </w:r>
    </w:p>
    <w:p w14:paraId="445C0EF7" w14:textId="77777777" w:rsidR="00CF6DD5" w:rsidRPr="00CF6DD5" w:rsidRDefault="00CF6DD5" w:rsidP="00CF6DD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F6DD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Балки изготавливают классов стали: С245 (Ст3), С255 (Ст3Гпс и Ст3Гсп), С345 (09Г2С). И сталей высокой прочности С390 и С440.</w:t>
      </w:r>
    </w:p>
    <w:sectPr w:rsidR="00CF6DD5" w:rsidRPr="00CF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68"/>
    <w:rsid w:val="00030099"/>
    <w:rsid w:val="00067B68"/>
    <w:rsid w:val="004F2F6F"/>
    <w:rsid w:val="008A7DE2"/>
    <w:rsid w:val="00CF6DD5"/>
    <w:rsid w:val="00E7232B"/>
    <w:rsid w:val="00F4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4E1B"/>
  <w15:chartTrackingRefBased/>
  <w15:docId w15:val="{04EE0AF6-1E22-4C63-B229-D36598CE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 Константин</dc:creator>
  <cp:keywords/>
  <dc:description/>
  <cp:lastModifiedBy>Татьяна Тарасова</cp:lastModifiedBy>
  <cp:revision>4</cp:revision>
  <dcterms:created xsi:type="dcterms:W3CDTF">2023-03-01T03:53:00Z</dcterms:created>
  <dcterms:modified xsi:type="dcterms:W3CDTF">2023-03-01T03:58:00Z</dcterms:modified>
</cp:coreProperties>
</file>